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2E2337">
      <w:pPr>
        <w:spacing w:line="500" w:lineRule="exact"/>
        <w:jc w:val="center"/>
        <w:rPr>
          <w:rFonts w:hint="eastAsia" w:ascii="宋体" w:hAnsi="宋体"/>
          <w:b/>
          <w:bCs/>
          <w:spacing w:val="-10"/>
          <w:sz w:val="44"/>
          <w:szCs w:val="44"/>
        </w:rPr>
      </w:pPr>
      <w:r>
        <w:rPr>
          <w:rFonts w:ascii="宋体" w:hAnsi="宋体"/>
          <w:b/>
          <w:bCs/>
          <w:spacing w:val="-10"/>
          <w:sz w:val="44"/>
          <w:szCs w:val="44"/>
        </w:rPr>
        <w:t>高等教育自学考试管理信息系统</w:t>
      </w:r>
    </w:p>
    <w:p w14:paraId="78E204AD">
      <w:pPr>
        <w:spacing w:line="500" w:lineRule="exact"/>
        <w:jc w:val="center"/>
        <w:rPr>
          <w:rFonts w:ascii="宋体" w:hAnsi="宋体"/>
          <w:b/>
          <w:bCs/>
          <w:spacing w:val="-10"/>
          <w:sz w:val="44"/>
          <w:szCs w:val="44"/>
        </w:rPr>
      </w:pPr>
      <w:r>
        <w:rPr>
          <w:rFonts w:ascii="宋体" w:hAnsi="宋体"/>
          <w:b/>
          <w:bCs/>
          <w:spacing w:val="-10"/>
          <w:sz w:val="44"/>
          <w:szCs w:val="44"/>
        </w:rPr>
        <w:t>考生端操作说明</w:t>
      </w:r>
    </w:p>
    <w:p w14:paraId="4756431A">
      <w:pPr>
        <w:rPr>
          <w:rFonts w:ascii="黑体" w:hAnsi="黑体" w:eastAsia="黑体"/>
          <w:sz w:val="32"/>
          <w:szCs w:val="32"/>
        </w:rPr>
      </w:pPr>
      <w:r>
        <w:rPr>
          <w:rFonts w:ascii="黑体" w:hAnsi="黑体" w:eastAsia="黑体"/>
          <w:sz w:val="32"/>
          <w:szCs w:val="32"/>
        </w:rPr>
        <w:t>一、登录</w:t>
      </w:r>
    </w:p>
    <w:p w14:paraId="6E4B4471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考生端地址：https://zk.sceea.cn/（推荐使用谷歌浏览器</w:t>
      </w:r>
      <w:r>
        <w:rPr>
          <w:rFonts w:hint="eastAsia" w:ascii="仿宋" w:hAnsi="仿宋" w:eastAsia="仿宋"/>
          <w:sz w:val="32"/>
          <w:szCs w:val="32"/>
        </w:rPr>
        <w:t>或</w:t>
      </w:r>
      <w:r>
        <w:rPr>
          <w:rFonts w:ascii="仿宋" w:hAnsi="仿宋" w:eastAsia="仿宋"/>
          <w:sz w:val="32"/>
          <w:szCs w:val="32"/>
        </w:rPr>
        <w:t>火狐浏览器）</w:t>
      </w:r>
    </w:p>
    <w:p w14:paraId="6DABDF7E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正常登录：</w:t>
      </w:r>
    </w:p>
    <w:p w14:paraId="66996061">
      <w:pPr>
        <w:spacing w:after="0" w:line="360" w:lineRule="auto"/>
        <w:ind w:firstLine="600" w:firstLineChars="200"/>
        <w:jc w:val="both"/>
        <w:rPr>
          <w:rFonts w:ascii="仿宋" w:hAnsi="仿宋" w:eastAsia="仿宋"/>
          <w:sz w:val="32"/>
          <w:szCs w:val="32"/>
        </w:rPr>
      </w:pPr>
      <w:r>
        <w:rPr>
          <w:rFonts w:ascii="Times New Roman" w:hAnsi="Times New Roman" w:eastAsia="仿宋_GB2312"/>
          <w:sz w:val="30"/>
          <w:szCs w:val="30"/>
        </w:rPr>
        <w:t>考生使用身份证号码为账号，</w:t>
      </w:r>
      <w:r>
        <w:rPr>
          <w:rFonts w:hint="eastAsia" w:ascii="Times New Roman" w:hAnsi="Times New Roman" w:eastAsia="仿宋_GB2312"/>
          <w:sz w:val="30"/>
          <w:szCs w:val="30"/>
          <w:lang w:eastAsia="zh-CN"/>
        </w:rPr>
        <w:t>考生自行设置的密码进行登录，若未设置，则初始密码为身份证号码后六位。</w:t>
      </w:r>
    </w:p>
    <w:p w14:paraId="0BE31BE2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登录失败：</w:t>
      </w:r>
    </w:p>
    <w:p w14:paraId="65D7957F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1. 身份证号码有误：未采集有效身份证号码或提供身份证号码无法通过验证的，由考生本人到注册地</w:t>
      </w:r>
      <w:r>
        <w:rPr>
          <w:rFonts w:hint="eastAsia" w:ascii="仿宋" w:hAnsi="仿宋" w:eastAsia="仿宋"/>
          <w:sz w:val="32"/>
          <w:szCs w:val="32"/>
        </w:rPr>
        <w:t>招生考试机构</w:t>
      </w:r>
      <w:r>
        <w:rPr>
          <w:rFonts w:ascii="仿宋" w:hAnsi="仿宋" w:eastAsia="仿宋"/>
          <w:sz w:val="32"/>
          <w:szCs w:val="32"/>
        </w:rPr>
        <w:t>或</w:t>
      </w:r>
      <w:r>
        <w:rPr>
          <w:rFonts w:hint="eastAsia" w:ascii="仿宋" w:hAnsi="仿宋" w:eastAsia="仿宋"/>
          <w:sz w:val="32"/>
          <w:szCs w:val="32"/>
        </w:rPr>
        <w:t>主考学校</w:t>
      </w:r>
      <w:r>
        <w:rPr>
          <w:rFonts w:ascii="仿宋" w:hAnsi="仿宋" w:eastAsia="仿宋"/>
          <w:sz w:val="32"/>
          <w:szCs w:val="32"/>
        </w:rPr>
        <w:t>采集正确身份证号码后，由注册地生成账号后再进行登录。</w:t>
      </w:r>
    </w:p>
    <w:p w14:paraId="1994D213">
      <w:pPr>
        <w:spacing w:after="156" w:afterLines="50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2. 忘记密码：已经登录过本系统并注册成功的考生，若忘记登录密码可用注册时填写的联系电话找回密码。找回密码入口如图1（注：找回密码时第一个输入框里是填“账号”并非“联系电话”）</w:t>
      </w:r>
    </w:p>
    <w:p w14:paraId="0CC8F627">
      <w:pPr>
        <w:rPr>
          <w:rFonts w:eastAsia="方正仿宋_GBK"/>
          <w:sz w:val="28"/>
          <w:szCs w:val="28"/>
        </w:rPr>
      </w:pPr>
      <w:r>
        <w:rPr>
          <w:rFonts w:eastAsia="方正仿宋_GBK"/>
          <w:sz w:val="28"/>
          <w:szCs w:val="28"/>
        </w:rPr>
        <w:drawing>
          <wp:inline distT="0" distB="0" distL="114300" distR="114300">
            <wp:extent cx="5273040" cy="2748280"/>
            <wp:effectExtent l="0" t="0" r="3810" b="13970"/>
            <wp:docPr id="7" name="未知 7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1" name="组合 0"/>
                    <a:cNvGrpSpPr/>
                  </a:nvGrpSpPr>
                  <a:grpSpPr>
                    <a:xfrm>
                      <a:off x="0" y="0"/>
                      <a:ext cx="6929464" cy="3609975"/>
                      <a:chOff x="785786" y="1428736"/>
                      <a:chExt cx="6929464" cy="3609975"/>
                    </a:xfrm>
                  </a:grpSpPr>
                  <a:pic>
                    <a:nvPicPr>
                      <a:cNvPr id="1026" name="Picture 2"/>
                      <a:cNvPicPr>
                        <a:picLocks noChangeAspect="1" noChangeArrowheads="1"/>
                      </a:cNvPicPr>
                    </a:nvPicPr>
                    <a:blipFill>
                      <a:blip r:embed="rId6"/>
                      <a:srcRect/>
                      <a:stretch>
                        <a:fillRect/>
                      </a:stretch>
                    </a:blipFill>
                    <a:spPr bwMode="auto">
                      <a:xfrm>
                        <a:off x="785786" y="1428736"/>
                        <a:ext cx="3219450" cy="36099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  <a:effectLst/>
                    </a:spPr>
                  </a:pic>
                  <a:cxnSp>
                    <a:nvCxnSpPr>
                      <a:cNvPr id="6" name="直接箭头连接符 5"/>
                      <a:cNvCxnSpPr/>
                    </a:nvCxnSpPr>
                    <a:spPr>
                      <a:xfrm>
                        <a:off x="4143372" y="3286124"/>
                        <a:ext cx="357190" cy="1588"/>
                      </a:xfrm>
                      <a:prstGeom prst="straightConnector1">
                        <a:avLst/>
                      </a:prstGeom>
                      <a:ln>
                        <a:tailEnd type="arrow"/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pic>
                    <a:nvPicPr>
                      <a:cNvPr id="1027" name="Picture 3"/>
                      <a:cNvPicPr>
                        <a:picLocks noChangeAspect="1" noChangeArrowheads="1"/>
                      </a:cNvPicPr>
                    </a:nvPicPr>
                    <a:blipFill>
                      <a:blip r:embed="rId7"/>
                      <a:srcRect/>
                      <a:stretch>
                        <a:fillRect/>
                      </a:stretch>
                    </a:blipFill>
                    <a:spPr bwMode="auto">
                      <a:xfrm>
                        <a:off x="4572000" y="2928934"/>
                        <a:ext cx="3143250" cy="7905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  <a:effectLst/>
                    </a:spPr>
                  </a:pic>
                </lc:lockedCanvas>
              </a:graphicData>
            </a:graphic>
          </wp:inline>
        </w:drawing>
      </w:r>
    </w:p>
    <w:p w14:paraId="704AE73F">
      <w:pPr>
        <w:ind w:firstLine="640" w:firstLineChars="200"/>
        <w:jc w:val="center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图1</w:t>
      </w:r>
    </w:p>
    <w:p w14:paraId="2B2B8998">
      <w:pPr>
        <w:ind w:firstLine="643" w:firstLineChars="200"/>
        <w:rPr>
          <w:rFonts w:ascii="仿宋" w:hAnsi="仿宋" w:eastAsia="仿宋"/>
          <w:b/>
          <w:sz w:val="32"/>
          <w:szCs w:val="32"/>
        </w:rPr>
      </w:pPr>
      <w:r>
        <w:rPr>
          <w:rFonts w:ascii="仿宋" w:hAnsi="仿宋" w:eastAsia="仿宋"/>
          <w:b/>
          <w:sz w:val="32"/>
          <w:szCs w:val="32"/>
        </w:rPr>
        <w:t>登录流程图：</w:t>
      </w:r>
    </w:p>
    <w:p w14:paraId="111E2A76">
      <w:pPr>
        <w:rPr>
          <w:rFonts w:eastAsia="方正仿宋_GBK"/>
          <w:sz w:val="28"/>
          <w:szCs w:val="28"/>
        </w:rPr>
      </w:pPr>
      <w:r>
        <w:rPr>
          <w:rFonts w:hint="eastAsia" w:ascii="Times New Roman" w:hAnsi="Times New Roman" w:eastAsia="仿宋_GB2312"/>
          <w:sz w:val="30"/>
          <w:szCs w:val="30"/>
          <w:lang w:eastAsia="zh-CN"/>
        </w:rPr>
        <w:drawing>
          <wp:inline distT="0" distB="0" distL="114300" distR="114300">
            <wp:extent cx="3515995" cy="2921635"/>
            <wp:effectExtent l="0" t="0" r="0" b="0"/>
            <wp:docPr id="4" name="图片 2" descr="登录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 descr="登录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515995" cy="2921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D27852">
      <w:pPr>
        <w:rPr>
          <w:rFonts w:ascii="黑体" w:hAnsi="黑体" w:eastAsia="黑体"/>
          <w:sz w:val="32"/>
          <w:szCs w:val="32"/>
        </w:rPr>
      </w:pPr>
      <w:r>
        <w:rPr>
          <w:rFonts w:ascii="黑体" w:hAnsi="黑体" w:eastAsia="黑体"/>
          <w:sz w:val="32"/>
          <w:szCs w:val="32"/>
        </w:rPr>
        <w:t>二、切换准考证</w:t>
      </w:r>
    </w:p>
    <w:p w14:paraId="5996497C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该功能用于考生切换准考证使用。</w:t>
      </w:r>
    </w:p>
    <w:p w14:paraId="165BB0FD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操作如图：</w:t>
      </w:r>
    </w:p>
    <w:p w14:paraId="69C8D101">
      <w:pPr>
        <w:jc w:val="center"/>
        <w:rPr>
          <w:rFonts w:eastAsia="方正仿宋_GBK"/>
          <w:sz w:val="28"/>
          <w:szCs w:val="28"/>
        </w:rPr>
      </w:pPr>
      <w:r>
        <w:rPr>
          <w:rFonts w:eastAsia="方正仿宋_GBK"/>
          <w:sz w:val="28"/>
          <w:szCs w:val="28"/>
        </w:rPr>
        <w:drawing>
          <wp:inline distT="0" distB="0" distL="114300" distR="114300">
            <wp:extent cx="4799330" cy="1883410"/>
            <wp:effectExtent l="0" t="0" r="1270" b="2540"/>
            <wp:docPr id="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799330" cy="1883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D37565">
      <w:pPr>
        <w:pStyle w:val="2"/>
        <w:ind w:firstLine="160" w:firstLineChars="50"/>
        <w:rPr>
          <w:rFonts w:eastAsia="方正仿宋_GBK"/>
          <w:b w:val="0"/>
          <w:color w:val="auto"/>
          <w:sz w:val="32"/>
          <w:szCs w:val="32"/>
        </w:rPr>
      </w:pPr>
      <w:r>
        <w:rPr>
          <w:rFonts w:eastAsia="方正仿宋_GBK"/>
          <w:b w:val="0"/>
          <w:color w:val="auto"/>
          <w:sz w:val="32"/>
          <w:szCs w:val="32"/>
        </w:rPr>
        <w:t>三、考籍管理</w:t>
      </w:r>
    </w:p>
    <w:p w14:paraId="1A7E1CBC">
      <w:pPr>
        <w:ind w:firstLine="640" w:firstLineChars="200"/>
        <w:jc w:val="left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说明：</w:t>
      </w:r>
    </w:p>
    <w:p w14:paraId="3B526993">
      <w:pPr>
        <w:ind w:firstLine="640" w:firstLineChars="200"/>
        <w:jc w:val="left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1.每个考籍管理的申请都有其申请的时间，考生只能在对应的时间范围内进行操作，时间范围外只能查看数据。</w:t>
      </w:r>
    </w:p>
    <w:p w14:paraId="539FD5E7">
      <w:pPr>
        <w:ind w:firstLine="640" w:firstLineChars="200"/>
        <w:jc w:val="left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如图所示：</w:t>
      </w:r>
    </w:p>
    <w:p w14:paraId="0D3DAB7A">
      <w:pPr>
        <w:rPr>
          <w:rFonts w:eastAsia="方正仿宋_GBK"/>
          <w:sz w:val="28"/>
          <w:szCs w:val="28"/>
        </w:rPr>
      </w:pPr>
      <w:r>
        <w:rPr>
          <w:rFonts w:eastAsia="方正仿宋_GBK"/>
          <w:sz w:val="28"/>
          <w:szCs w:val="28"/>
        </w:rPr>
        <w:drawing>
          <wp:inline distT="0" distB="0" distL="114300" distR="114300">
            <wp:extent cx="4436110" cy="1587500"/>
            <wp:effectExtent l="0" t="0" r="2540" b="12700"/>
            <wp:docPr id="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436110" cy="158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方正仿宋_GBK"/>
          <w:sz w:val="28"/>
          <w:szCs w:val="28"/>
        </w:rPr>
        <w:drawing>
          <wp:inline distT="0" distB="0" distL="114300" distR="114300">
            <wp:extent cx="4432300" cy="993140"/>
            <wp:effectExtent l="0" t="0" r="6350" b="1651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432300" cy="993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521B5F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2. 下发的每条数据都可以看到每一级的审核意见，在详情里查看。</w:t>
      </w:r>
    </w:p>
    <w:p w14:paraId="118E20D3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如图所示：</w:t>
      </w:r>
    </w:p>
    <w:p w14:paraId="2CCF547F">
      <w:pPr>
        <w:rPr>
          <w:rFonts w:eastAsia="方正仿宋_GBK"/>
          <w:sz w:val="28"/>
          <w:szCs w:val="28"/>
        </w:rPr>
      </w:pPr>
      <w:r>
        <w:rPr>
          <w:rFonts w:eastAsia="方正仿宋_GBK"/>
          <w:sz w:val="28"/>
          <w:szCs w:val="28"/>
        </w:rPr>
        <w:drawing>
          <wp:inline distT="0" distB="0" distL="114300" distR="114300">
            <wp:extent cx="5275580" cy="1144905"/>
            <wp:effectExtent l="0" t="0" r="1270" b="1714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5580" cy="1144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3CBD07">
      <w:pPr>
        <w:rPr>
          <w:rFonts w:ascii="仿宋" w:hAnsi="仿宋" w:eastAsia="仿宋"/>
          <w:b/>
          <w:sz w:val="32"/>
          <w:szCs w:val="32"/>
        </w:rPr>
      </w:pPr>
      <w:r>
        <w:rPr>
          <w:rFonts w:ascii="仿宋" w:hAnsi="仿宋" w:eastAsia="仿宋"/>
          <w:b/>
          <w:sz w:val="32"/>
          <w:szCs w:val="32"/>
        </w:rPr>
        <w:t>考籍业务申请流程图:</w:t>
      </w:r>
    </w:p>
    <w:p w14:paraId="79D5D798">
      <w:pPr>
        <w:rPr>
          <w:rFonts w:eastAsia="方正仿宋_GBK"/>
          <w:sz w:val="28"/>
          <w:szCs w:val="28"/>
        </w:rPr>
      </w:pPr>
      <w:r>
        <w:rPr>
          <w:rFonts w:eastAsia="方正仿宋_GBK"/>
          <w:sz w:val="28"/>
          <w:szCs w:val="28"/>
        </w:rPr>
        <w:drawing>
          <wp:inline distT="0" distB="0" distL="114300" distR="114300">
            <wp:extent cx="2517775" cy="2646045"/>
            <wp:effectExtent l="0" t="0" r="15875" b="1905"/>
            <wp:docPr id="1" name="图片 7" descr="D:\用户目录\我的文档\Tencent Files\270523030\Image\C2C\(PAD8K1$K$I{VWJ2[)A$9F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7" descr="D:\用户目录\我的文档\Tencent Files\270523030\Image\C2C\(PAD8K1$K$I{VWJ2[)A$9F0.png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517775" cy="2646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1E9C54">
      <w:pPr>
        <w:ind w:firstLine="320" w:firstLineChars="1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注：该流程图适用于考籍管理中</w:t>
      </w:r>
      <w:r>
        <w:rPr>
          <w:rFonts w:hint="eastAsia" w:ascii="仿宋" w:hAnsi="仿宋" w:eastAsia="仿宋"/>
          <w:sz w:val="32"/>
          <w:szCs w:val="32"/>
        </w:rPr>
        <w:t>的</w:t>
      </w:r>
      <w:r>
        <w:rPr>
          <w:rFonts w:ascii="仿宋" w:hAnsi="仿宋" w:eastAsia="仿宋"/>
          <w:sz w:val="32"/>
          <w:szCs w:val="32"/>
        </w:rPr>
        <w:t>考籍更改（基本信息）申请、课程免试申请、省际转出申请、前置学历审核申请、毕业申请功能。</w:t>
      </w:r>
    </w:p>
    <w:p w14:paraId="5608C1A4">
      <w:pPr>
        <w:pStyle w:val="3"/>
        <w:spacing w:before="0" w:after="0" w:line="240" w:lineRule="auto"/>
        <w:rPr>
          <w:rFonts w:ascii="仿宋" w:hAnsi="仿宋" w:eastAsia="仿宋"/>
        </w:rPr>
      </w:pPr>
      <w:r>
        <w:rPr>
          <w:rFonts w:ascii="仿宋" w:hAnsi="仿宋" w:eastAsia="仿宋"/>
        </w:rPr>
        <w:t>课程顶替操作流程图:</w:t>
      </w:r>
    </w:p>
    <w:p w14:paraId="47CC332B">
      <w:pPr>
        <w:rPr>
          <w:rFonts w:eastAsia="方正仿宋_GBK"/>
          <w:sz w:val="28"/>
          <w:szCs w:val="28"/>
        </w:rPr>
      </w:pPr>
      <w:r>
        <w:rPr>
          <w:rFonts w:eastAsia="方正仿宋_GBK"/>
          <w:sz w:val="28"/>
          <w:szCs w:val="28"/>
        </w:rPr>
        <w:drawing>
          <wp:inline distT="0" distB="0" distL="114300" distR="114300">
            <wp:extent cx="2343150" cy="1828800"/>
            <wp:effectExtent l="0" t="0" r="0" b="0"/>
            <wp:docPr id="2" name="图片 8" descr="D:\用户目录\我的文档\Tencent Files\270523030\Image\C2C\E]UJ`SL@J0TH3{$5}02U%N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8" descr="D:\用户目录\我的文档\Tencent Files\270523030\Image\C2C\E]UJ`SL@J0TH3{$5}02U%N9.png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34315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1B6D3E">
      <w:pPr>
        <w:spacing w:line="760" w:lineRule="exact"/>
        <w:ind w:firstLine="320" w:firstLineChars="100"/>
        <w:rPr>
          <w:rFonts w:hint="eastAsia"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注</w:t>
      </w:r>
      <w:r>
        <w:rPr>
          <w:rFonts w:hint="eastAsia" w:ascii="仿宋" w:hAnsi="仿宋" w:eastAsia="仿宋"/>
          <w:sz w:val="32"/>
          <w:szCs w:val="32"/>
        </w:rPr>
        <w:t>：</w:t>
      </w:r>
      <w:r>
        <w:rPr>
          <w:rFonts w:ascii="仿宋" w:hAnsi="仿宋" w:eastAsia="仿宋"/>
          <w:sz w:val="32"/>
          <w:szCs w:val="32"/>
        </w:rPr>
        <w:t>该流程图适用于考籍管理中</w:t>
      </w:r>
      <w:r>
        <w:rPr>
          <w:rFonts w:hint="eastAsia" w:ascii="仿宋" w:hAnsi="仿宋" w:eastAsia="仿宋"/>
          <w:sz w:val="32"/>
          <w:szCs w:val="32"/>
        </w:rPr>
        <w:t>的</w:t>
      </w:r>
      <w:r>
        <w:rPr>
          <w:rFonts w:ascii="仿宋" w:hAnsi="仿宋" w:eastAsia="仿宋"/>
          <w:sz w:val="32"/>
          <w:szCs w:val="32"/>
        </w:rPr>
        <w:t>课程顶替功能</w:t>
      </w:r>
      <w:r>
        <w:rPr>
          <w:rFonts w:hint="eastAsia" w:ascii="仿宋" w:hAnsi="仿宋" w:eastAsia="仿宋"/>
          <w:sz w:val="32"/>
          <w:szCs w:val="32"/>
        </w:rPr>
        <w:t>。</w:t>
      </w:r>
    </w:p>
    <w:p w14:paraId="38E10C2D"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1713" w:right="1531" w:bottom="1871" w:left="1531" w:header="851" w:footer="120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1914D8">
    <w:pPr>
      <w:pStyle w:val="4"/>
      <w:framePr w:wrap="auto" w:vAnchor="text" w:hAnchor="margin" w:xAlign="outside" w:y="1"/>
      <w:rPr>
        <w:rStyle w:val="7"/>
        <w:rFonts w:ascii="宋体"/>
        <w:sz w:val="28"/>
        <w:szCs w:val="28"/>
      </w:rPr>
    </w:pPr>
    <w:r>
      <w:rPr>
        <w:rStyle w:val="7"/>
        <w:rFonts w:ascii="宋体" w:hAnsi="宋体"/>
        <w:sz w:val="28"/>
        <w:szCs w:val="28"/>
      </w:rPr>
      <w:t xml:space="preserve">— </w:t>
    </w:r>
    <w:r>
      <w:rPr>
        <w:rStyle w:val="7"/>
        <w:rFonts w:ascii="宋体" w:hAnsi="宋体"/>
        <w:sz w:val="28"/>
        <w:szCs w:val="28"/>
      </w:rPr>
      <w:fldChar w:fldCharType="begin"/>
    </w:r>
    <w:r>
      <w:rPr>
        <w:rStyle w:val="7"/>
        <w:rFonts w:ascii="宋体" w:hAnsi="宋体"/>
        <w:sz w:val="28"/>
        <w:szCs w:val="28"/>
      </w:rPr>
      <w:instrText xml:space="preserve">PAGE  </w:instrText>
    </w:r>
    <w:r>
      <w:rPr>
        <w:rStyle w:val="7"/>
        <w:rFonts w:ascii="宋体" w:hAnsi="宋体"/>
        <w:sz w:val="28"/>
        <w:szCs w:val="28"/>
      </w:rPr>
      <w:fldChar w:fldCharType="separate"/>
    </w:r>
    <w:r>
      <w:rPr>
        <w:rStyle w:val="7"/>
        <w:rFonts w:ascii="宋体" w:hAnsi="宋体"/>
        <w:sz w:val="28"/>
        <w:szCs w:val="28"/>
      </w:rPr>
      <w:t>1</w:t>
    </w:r>
    <w:r>
      <w:rPr>
        <w:rStyle w:val="7"/>
        <w:rFonts w:ascii="宋体" w:hAnsi="宋体"/>
        <w:sz w:val="28"/>
        <w:szCs w:val="28"/>
      </w:rPr>
      <w:fldChar w:fldCharType="end"/>
    </w:r>
    <w:r>
      <w:rPr>
        <w:rStyle w:val="7"/>
        <w:rFonts w:ascii="宋体" w:hAnsi="宋体"/>
        <w:sz w:val="28"/>
        <w:szCs w:val="28"/>
      </w:rPr>
      <w:t xml:space="preserve"> —</w:t>
    </w:r>
  </w:p>
  <w:p w14:paraId="1EDEAE76"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FEA3C1">
    <w:pPr>
      <w:pStyle w:val="4"/>
      <w:framePr w:wrap="auto" w:vAnchor="text" w:hAnchor="margin" w:xAlign="outside" w:y="1"/>
      <w:rPr>
        <w:rStyle w:val="7"/>
      </w:rPr>
    </w:pPr>
    <w:r>
      <w:rPr>
        <w:rStyle w:val="7"/>
      </w:rPr>
      <w:fldChar w:fldCharType="begin"/>
    </w:r>
    <w:r>
      <w:rPr>
        <w:rStyle w:val="7"/>
      </w:rPr>
      <w:instrText xml:space="preserve">PAGE  </w:instrText>
    </w:r>
    <w:r>
      <w:rPr>
        <w:rStyle w:val="7"/>
      </w:rPr>
      <w:fldChar w:fldCharType="end"/>
    </w:r>
  </w:p>
  <w:p w14:paraId="28ADE649">
    <w:pPr>
      <w:pStyle w:val="4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E153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outlineLvl w:val="1"/>
    </w:pPr>
    <w:rPr>
      <w:b/>
      <w:color w:val="FF0000"/>
      <w:sz w:val="28"/>
      <w:szCs w:val="24"/>
    </w:rPr>
  </w:style>
  <w:style w:type="paragraph" w:styleId="3">
    <w:name w:val="heading 3"/>
    <w:basedOn w:val="1"/>
    <w:next w:val="1"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character" w:styleId="7">
    <w:name w:val="page number"/>
    <w:qFormat/>
    <w:uiPriority w:val="0"/>
    <w:rPr>
      <w:rFonts w:cs="Times New Roma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2025-01-17T03:56:25Z</dcterms:created>
  <dc:creator>Administrator</dc:creator>
  <cp:lastModifiedBy>领航者</cp:lastModifiedBy>
  <dcterms:modified xsi:type="dcterms:W3CDTF">2025-01-17T03:56:27Z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KSOTemplateDocerSaveRecord">
    <vt:lpwstr>eyJoZGlkIjoiNjYyZWM2N2ZjMWFmNWRmYTE3YTNkY2Y3M2I4NWY3NjkiLCJ1c2VySWQiOiIzNTUyODEzMTAifQ==</vt:lpwstr>
  </property>
  <property fmtid="{D5CDD505-2E9C-101B-9397-08002B2CF9AE}" pid="4" name="ICV">
    <vt:lpwstr>BF08F3E58777422BAC4A110D10903229_12</vt:lpwstr>
  </property>
</Properties>
</file>